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1757" w14:textId="39F4D2E7" w:rsidR="00161FE8" w:rsidRPr="000B57AB" w:rsidRDefault="000860F0">
      <w:pPr>
        <w:spacing w:after="80" w:line="259" w:lineRule="auto"/>
        <w:ind w:left="1097" w:right="552" w:firstLine="0"/>
        <w:jc w:val="left"/>
        <w:rPr>
          <w:sz w:val="24"/>
          <w:szCs w:val="24"/>
        </w:rPr>
      </w:pPr>
      <w:r w:rsidRPr="000B57A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FCABFF0" wp14:editId="03731B56">
            <wp:simplePos x="0" y="0"/>
            <wp:positionH relativeFrom="column">
              <wp:posOffset>4783811</wp:posOffset>
            </wp:positionH>
            <wp:positionV relativeFrom="paragraph">
              <wp:posOffset>0</wp:posOffset>
            </wp:positionV>
            <wp:extent cx="831850" cy="51498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615" w:rsidRPr="000B57A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7CC99D42" wp14:editId="0FE01860">
            <wp:simplePos x="0" y="0"/>
            <wp:positionH relativeFrom="column">
              <wp:posOffset>-558</wp:posOffset>
            </wp:positionH>
            <wp:positionV relativeFrom="paragraph">
              <wp:posOffset>-59134</wp:posOffset>
            </wp:positionV>
            <wp:extent cx="542925" cy="70485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615" w:rsidRPr="000B57AB">
        <w:rPr>
          <w:b/>
          <w:color w:val="EE0000"/>
          <w:sz w:val="24"/>
          <w:szCs w:val="24"/>
        </w:rPr>
        <w:t xml:space="preserve">REPUBLIKA HRVATSKA </w:t>
      </w:r>
    </w:p>
    <w:p w14:paraId="0A7942DE" w14:textId="77777777" w:rsidR="0047026B" w:rsidRPr="000B57AB" w:rsidRDefault="007C4615">
      <w:pPr>
        <w:spacing w:after="72" w:line="259" w:lineRule="auto"/>
        <w:ind w:right="552"/>
        <w:jc w:val="left"/>
        <w:rPr>
          <w:sz w:val="24"/>
          <w:szCs w:val="24"/>
        </w:rPr>
      </w:pPr>
      <w:r w:rsidRPr="000B57AB">
        <w:rPr>
          <w:sz w:val="24"/>
          <w:szCs w:val="24"/>
        </w:rPr>
        <w:t xml:space="preserve">MINISTARSTVO </w:t>
      </w:r>
      <w:r w:rsidR="0047026B" w:rsidRPr="000B57AB">
        <w:rPr>
          <w:sz w:val="24"/>
          <w:szCs w:val="24"/>
        </w:rPr>
        <w:t>GOSPODARSTVA</w:t>
      </w:r>
    </w:p>
    <w:p w14:paraId="4D6925EE" w14:textId="1BE4EC73" w:rsidR="0047026B" w:rsidRPr="000860F0" w:rsidRDefault="0047026B" w:rsidP="000860F0">
      <w:pPr>
        <w:spacing w:after="72" w:line="259" w:lineRule="auto"/>
        <w:ind w:right="552"/>
        <w:jc w:val="left"/>
        <w:rPr>
          <w:sz w:val="24"/>
          <w:szCs w:val="24"/>
        </w:rPr>
      </w:pPr>
      <w:r w:rsidRPr="000B57AB">
        <w:rPr>
          <w:sz w:val="24"/>
          <w:szCs w:val="24"/>
        </w:rPr>
        <w:t>I ODRŽIVOG RAZVOJA</w:t>
      </w:r>
      <w:r w:rsidR="007C4615" w:rsidRPr="000B57AB">
        <w:rPr>
          <w:sz w:val="24"/>
          <w:szCs w:val="24"/>
        </w:rPr>
        <w:t xml:space="preserve"> </w:t>
      </w:r>
    </w:p>
    <w:p w14:paraId="55E0FFCA" w14:textId="74B414B7" w:rsidR="0047026B" w:rsidRPr="000B57AB" w:rsidRDefault="0047026B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</w:rPr>
      </w:pPr>
      <w:r w:rsidRPr="000B57AB">
        <w:rPr>
          <w:b/>
          <w:sz w:val="24"/>
          <w:szCs w:val="24"/>
        </w:rPr>
        <w:tab/>
      </w:r>
      <w:r w:rsidRPr="000B57AB">
        <w:rPr>
          <w:b/>
          <w:sz w:val="24"/>
          <w:szCs w:val="24"/>
        </w:rPr>
        <w:tab/>
      </w:r>
      <w:r w:rsidR="000860F0">
        <w:rPr>
          <w:b/>
          <w:sz w:val="24"/>
          <w:szCs w:val="24"/>
        </w:rPr>
        <w:t xml:space="preserve">            </w:t>
      </w:r>
      <w:r w:rsidRPr="000B57AB">
        <w:rPr>
          <w:b/>
          <w:sz w:val="24"/>
          <w:szCs w:val="24"/>
        </w:rPr>
        <w:t>Europska unija</w:t>
      </w:r>
    </w:p>
    <w:p w14:paraId="2C83E806" w14:textId="292AE867" w:rsidR="00161FE8" w:rsidRPr="000860F0" w:rsidRDefault="0047026B" w:rsidP="00D80EEA">
      <w:pPr>
        <w:tabs>
          <w:tab w:val="center" w:pos="869"/>
          <w:tab w:val="center" w:pos="7861"/>
          <w:tab w:val="right" w:pos="9073"/>
        </w:tabs>
        <w:spacing w:after="0" w:line="259" w:lineRule="auto"/>
        <w:ind w:left="6372" w:firstLine="0"/>
        <w:jc w:val="left"/>
        <w:rPr>
          <w:b/>
          <w:sz w:val="24"/>
          <w:szCs w:val="24"/>
        </w:rPr>
      </w:pPr>
      <w:r w:rsidRPr="000B57A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0B57AB">
        <w:rPr>
          <w:b/>
          <w:sz w:val="24"/>
          <w:szCs w:val="24"/>
        </w:rPr>
        <w:t>F</w:t>
      </w:r>
      <w:r w:rsidR="007C4615" w:rsidRPr="000B57AB">
        <w:rPr>
          <w:b/>
          <w:sz w:val="24"/>
          <w:szCs w:val="24"/>
        </w:rPr>
        <w:t>ond solidarnosti Europske unije</w:t>
      </w:r>
    </w:p>
    <w:p w14:paraId="67C45538" w14:textId="2EE11F52" w:rsidR="00161FE8" w:rsidRPr="000B57AB" w:rsidRDefault="007C4615" w:rsidP="00BA57C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B57AB">
        <w:rPr>
          <w:rFonts w:ascii="Calibri" w:eastAsia="Calibri" w:hAnsi="Calibri" w:cs="Calibri"/>
          <w:sz w:val="24"/>
          <w:szCs w:val="24"/>
        </w:rPr>
        <w:t xml:space="preserve"> </w:t>
      </w:r>
    </w:p>
    <w:p w14:paraId="72063030" w14:textId="77777777" w:rsidR="00161FE8" w:rsidRPr="000B57AB" w:rsidRDefault="007C4615">
      <w:pPr>
        <w:spacing w:after="175" w:line="259" w:lineRule="auto"/>
        <w:ind w:right="1"/>
        <w:jc w:val="center"/>
        <w:rPr>
          <w:sz w:val="24"/>
          <w:szCs w:val="24"/>
        </w:rPr>
      </w:pPr>
      <w:r w:rsidRPr="000B57AB">
        <w:rPr>
          <w:i/>
          <w:sz w:val="24"/>
          <w:szCs w:val="24"/>
        </w:rPr>
        <w:t xml:space="preserve">Ovaj Poziv se financira iz </w:t>
      </w:r>
    </w:p>
    <w:p w14:paraId="7273A263" w14:textId="77777777" w:rsidR="00161FE8" w:rsidRPr="000B57AB" w:rsidRDefault="007C4615">
      <w:pPr>
        <w:spacing w:after="229" w:line="259" w:lineRule="auto"/>
        <w:ind w:right="4"/>
        <w:jc w:val="center"/>
        <w:rPr>
          <w:sz w:val="24"/>
          <w:szCs w:val="24"/>
        </w:rPr>
      </w:pPr>
      <w:r w:rsidRPr="000B57AB">
        <w:rPr>
          <w:i/>
          <w:sz w:val="24"/>
          <w:szCs w:val="24"/>
        </w:rPr>
        <w:t>Fonda solidarnosti Europske unije</w:t>
      </w:r>
      <w:r w:rsidRPr="000B57AB">
        <w:rPr>
          <w:b/>
          <w:sz w:val="24"/>
          <w:szCs w:val="24"/>
        </w:rPr>
        <w:t xml:space="preserve"> </w:t>
      </w:r>
    </w:p>
    <w:p w14:paraId="5929A108" w14:textId="77777777" w:rsidR="00161FE8" w:rsidRPr="000B57AB" w:rsidRDefault="007C4615">
      <w:pPr>
        <w:spacing w:after="263" w:line="259" w:lineRule="auto"/>
        <w:ind w:left="127" w:right="120"/>
        <w:jc w:val="center"/>
        <w:rPr>
          <w:sz w:val="24"/>
          <w:szCs w:val="24"/>
        </w:rPr>
      </w:pPr>
      <w:r w:rsidRPr="000B57AB">
        <w:rPr>
          <w:b/>
          <w:sz w:val="24"/>
          <w:szCs w:val="24"/>
        </w:rPr>
        <w:t xml:space="preserve">SAŽETAK POZIVA NA DOSTAVU PROJEKTNIH PRIJEDLOGA </w:t>
      </w:r>
    </w:p>
    <w:p w14:paraId="028D35FA" w14:textId="6FFB2EBC" w:rsidR="000B57AB" w:rsidRDefault="000B57AB" w:rsidP="002A4A3E">
      <w:pPr>
        <w:pStyle w:val="Bodytext30"/>
        <w:shd w:val="clear" w:color="auto" w:fill="auto"/>
        <w:spacing w:line="240" w:lineRule="auto"/>
        <w:ind w:left="181"/>
        <w:jc w:val="center"/>
        <w:rPr>
          <w:sz w:val="24"/>
          <w:szCs w:val="24"/>
        </w:rPr>
      </w:pPr>
      <w:r w:rsidRPr="000B57AB">
        <w:rPr>
          <w:sz w:val="24"/>
          <w:szCs w:val="24"/>
        </w:rPr>
        <w:t xml:space="preserve">Vraćanje u ispravno radno stanje infrastrukture i pogona u području vodoopskrbe i upravljanja otpadnim vodama </w:t>
      </w:r>
    </w:p>
    <w:p w14:paraId="123CD949" w14:textId="77777777" w:rsidR="002A4A3E" w:rsidRPr="000B57AB" w:rsidRDefault="002A4A3E" w:rsidP="002A4A3E">
      <w:pPr>
        <w:pStyle w:val="Bodytext30"/>
        <w:shd w:val="clear" w:color="auto" w:fill="auto"/>
        <w:spacing w:line="240" w:lineRule="auto"/>
        <w:ind w:left="181"/>
        <w:jc w:val="center"/>
        <w:rPr>
          <w:sz w:val="24"/>
          <w:szCs w:val="24"/>
        </w:rPr>
      </w:pPr>
    </w:p>
    <w:p w14:paraId="7E5C6C91" w14:textId="544E9D15" w:rsidR="000B57AB" w:rsidRPr="00D02F7C" w:rsidRDefault="000B57AB" w:rsidP="002A4A3E">
      <w:pPr>
        <w:pStyle w:val="Bodytext30"/>
        <w:shd w:val="clear" w:color="auto" w:fill="auto"/>
        <w:spacing w:line="240" w:lineRule="auto"/>
        <w:ind w:left="181"/>
        <w:jc w:val="center"/>
        <w:rPr>
          <w:b w:val="0"/>
          <w:sz w:val="24"/>
          <w:szCs w:val="24"/>
        </w:rPr>
      </w:pPr>
      <w:r w:rsidRPr="000B57AB">
        <w:rPr>
          <w:b w:val="0"/>
          <w:sz w:val="24"/>
          <w:szCs w:val="24"/>
        </w:rPr>
        <w:t xml:space="preserve">Sanacija šteta nastalih potresom od </w:t>
      </w:r>
      <w:r w:rsidR="00A6239E">
        <w:rPr>
          <w:b w:val="0"/>
          <w:sz w:val="24"/>
          <w:szCs w:val="24"/>
        </w:rPr>
        <w:t xml:space="preserve">28. i </w:t>
      </w:r>
      <w:r w:rsidRPr="000B57AB">
        <w:rPr>
          <w:b w:val="0"/>
          <w:sz w:val="24"/>
          <w:szCs w:val="24"/>
        </w:rPr>
        <w:t xml:space="preserve">29. prosinca 2020. na području </w:t>
      </w:r>
      <w:r w:rsidR="00D02F7C" w:rsidRPr="00D02F7C">
        <w:rPr>
          <w:b w:val="0"/>
          <w:sz w:val="24"/>
        </w:rPr>
        <w:t>Sisačko-moslavačke županije, Zagrebačke županije, Karlovačke županije, Krapinsko-zagorske županije i Grada Zagreba</w:t>
      </w:r>
    </w:p>
    <w:p w14:paraId="1FED8004" w14:textId="77777777" w:rsidR="002A4A3E" w:rsidRDefault="002A4A3E" w:rsidP="002A4A3E">
      <w:pPr>
        <w:spacing w:after="0" w:line="460" w:lineRule="auto"/>
        <w:ind w:left="127" w:right="66"/>
        <w:jc w:val="center"/>
        <w:rPr>
          <w:b/>
          <w:sz w:val="24"/>
          <w:szCs w:val="24"/>
        </w:rPr>
      </w:pPr>
    </w:p>
    <w:p w14:paraId="77887D40" w14:textId="63E33ECF" w:rsidR="00AD4288" w:rsidRPr="002A4A3E" w:rsidRDefault="00C2534D" w:rsidP="002A4A3E">
      <w:pPr>
        <w:spacing w:after="0" w:line="460" w:lineRule="auto"/>
        <w:ind w:left="127" w:right="66"/>
        <w:jc w:val="center"/>
        <w:rPr>
          <w:sz w:val="24"/>
          <w:szCs w:val="24"/>
        </w:rPr>
      </w:pPr>
      <w:r w:rsidRPr="000B57AB">
        <w:rPr>
          <w:b/>
          <w:sz w:val="24"/>
          <w:szCs w:val="24"/>
        </w:rPr>
        <w:t xml:space="preserve"> FSEU.2022</w:t>
      </w:r>
      <w:r w:rsidR="007C4615" w:rsidRPr="000B57AB">
        <w:rPr>
          <w:b/>
          <w:sz w:val="24"/>
          <w:szCs w:val="24"/>
        </w:rPr>
        <w:t>.M</w:t>
      </w:r>
      <w:r w:rsidR="00F737BA" w:rsidRPr="000B57AB">
        <w:rPr>
          <w:b/>
          <w:sz w:val="24"/>
          <w:szCs w:val="24"/>
        </w:rPr>
        <w:t>INGOR</w:t>
      </w:r>
      <w:r w:rsidRPr="000B57AB">
        <w:rPr>
          <w:b/>
          <w:sz w:val="24"/>
          <w:szCs w:val="24"/>
        </w:rPr>
        <w:t>.03</w:t>
      </w:r>
      <w:r w:rsidR="007C4615" w:rsidRPr="000B57AB">
        <w:rPr>
          <w:b/>
          <w:sz w:val="24"/>
          <w:szCs w:val="24"/>
        </w:rPr>
        <w:t xml:space="preserve"> </w:t>
      </w:r>
    </w:p>
    <w:p w14:paraId="7BDF0399" w14:textId="5245E293" w:rsidR="00AD4288" w:rsidRPr="000B57AB" w:rsidRDefault="000B57AB" w:rsidP="000B57AB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Predmet i s</w:t>
      </w:r>
      <w:r w:rsidR="00AD4288" w:rsidRPr="000B57AB">
        <w:rPr>
          <w:b/>
          <w:sz w:val="24"/>
          <w:szCs w:val="24"/>
        </w:rPr>
        <w:t>vrha (cilj) Poziva</w:t>
      </w:r>
    </w:p>
    <w:p w14:paraId="0375D3ED" w14:textId="462B637F" w:rsidR="000B57AB" w:rsidRDefault="000B57AB" w:rsidP="000B57AB">
      <w:pPr>
        <w:spacing w:after="5" w:line="250" w:lineRule="auto"/>
        <w:ind w:right="116"/>
        <w:rPr>
          <w:sz w:val="24"/>
        </w:rPr>
      </w:pPr>
      <w:r w:rsidRPr="00A02986">
        <w:rPr>
          <w:sz w:val="24"/>
        </w:rPr>
        <w:t xml:space="preserve">Pozivom će se podupirati provedba </w:t>
      </w:r>
      <w:r>
        <w:rPr>
          <w:sz w:val="24"/>
        </w:rPr>
        <w:t xml:space="preserve">obnove i rekonstrukcije vodnokomunalne infrastrukture i druge pripadajuće infrastrukture oštećene u potresu </w:t>
      </w:r>
      <w:r w:rsidR="00A6239E">
        <w:rPr>
          <w:sz w:val="24"/>
        </w:rPr>
        <w:t xml:space="preserve">28. i </w:t>
      </w:r>
      <w:r>
        <w:rPr>
          <w:sz w:val="24"/>
        </w:rPr>
        <w:t xml:space="preserve">29. prosinca 2020. na području Sisačko-moslavačke županije, Zagrebačke županije, </w:t>
      </w:r>
      <w:r w:rsidRPr="0052146E">
        <w:rPr>
          <w:sz w:val="24"/>
        </w:rPr>
        <w:t>Karlovačke županije</w:t>
      </w:r>
      <w:r>
        <w:rPr>
          <w:sz w:val="24"/>
        </w:rPr>
        <w:t xml:space="preserve">, </w:t>
      </w:r>
      <w:r w:rsidRPr="0052146E">
        <w:rPr>
          <w:sz w:val="24"/>
        </w:rPr>
        <w:t>Krapinsko-zagorske</w:t>
      </w:r>
      <w:r>
        <w:rPr>
          <w:sz w:val="24"/>
        </w:rPr>
        <w:t xml:space="preserve"> županije i </w:t>
      </w:r>
      <w:r w:rsidRPr="0052146E">
        <w:rPr>
          <w:sz w:val="24"/>
        </w:rPr>
        <w:t>Grada Zagreba</w:t>
      </w:r>
      <w:r>
        <w:rPr>
          <w:sz w:val="24"/>
        </w:rPr>
        <w:t xml:space="preserve">. </w:t>
      </w:r>
      <w:r w:rsidRPr="00A02986">
        <w:rPr>
          <w:sz w:val="24"/>
        </w:rPr>
        <w:t xml:space="preserve">Pod </w:t>
      </w:r>
      <w:r>
        <w:rPr>
          <w:sz w:val="24"/>
        </w:rPr>
        <w:t>vodnokomunalnom</w:t>
      </w:r>
      <w:r w:rsidRPr="00A02986">
        <w:rPr>
          <w:sz w:val="24"/>
        </w:rPr>
        <w:t xml:space="preserve"> infrastrukturom u smislu ovog poziva smatraju se </w:t>
      </w:r>
      <w:r>
        <w:rPr>
          <w:sz w:val="24"/>
        </w:rPr>
        <w:t xml:space="preserve">komunalne </w:t>
      </w:r>
      <w:r w:rsidRPr="00A02986">
        <w:rPr>
          <w:sz w:val="24"/>
        </w:rPr>
        <w:t>vodne građevine</w:t>
      </w:r>
      <w:r>
        <w:rPr>
          <w:sz w:val="24"/>
        </w:rPr>
        <w:t xml:space="preserve"> za javnu vodoopskrbu i odvodnju</w:t>
      </w:r>
      <w:r w:rsidRPr="00A02986">
        <w:rPr>
          <w:sz w:val="24"/>
        </w:rPr>
        <w:t xml:space="preserve"> </w:t>
      </w:r>
      <w:r>
        <w:rPr>
          <w:sz w:val="24"/>
        </w:rPr>
        <w:t xml:space="preserve">kako su </w:t>
      </w:r>
      <w:r w:rsidRPr="00A02986">
        <w:rPr>
          <w:sz w:val="24"/>
        </w:rPr>
        <w:t>definirane Zakon</w:t>
      </w:r>
      <w:r>
        <w:rPr>
          <w:sz w:val="24"/>
        </w:rPr>
        <w:t>om</w:t>
      </w:r>
      <w:r w:rsidRPr="00A02986">
        <w:rPr>
          <w:sz w:val="24"/>
        </w:rPr>
        <w:t xml:space="preserve"> o vodama (Narodne novine, broj 66/19</w:t>
      </w:r>
      <w:r>
        <w:rPr>
          <w:sz w:val="24"/>
        </w:rPr>
        <w:t xml:space="preserve"> i 84/21</w:t>
      </w:r>
      <w:r w:rsidRPr="00A02986">
        <w:rPr>
          <w:sz w:val="24"/>
        </w:rPr>
        <w:t xml:space="preserve">), koje su </w:t>
      </w:r>
      <w:r>
        <w:rPr>
          <w:sz w:val="24"/>
        </w:rPr>
        <w:t>javna dobra u javnoj uporabi i u vlasništvu su javnih isporučitelja vodnih usluga.</w:t>
      </w:r>
      <w:r w:rsidRPr="00A02986">
        <w:rPr>
          <w:b/>
          <w:sz w:val="24"/>
        </w:rPr>
        <w:t xml:space="preserve"> </w:t>
      </w:r>
    </w:p>
    <w:p w14:paraId="2CB4E55A" w14:textId="77777777" w:rsidR="000B57AB" w:rsidRPr="000B57AB" w:rsidRDefault="000B57AB" w:rsidP="000B57AB">
      <w:pPr>
        <w:spacing w:after="5" w:line="250" w:lineRule="auto"/>
        <w:ind w:right="116"/>
        <w:rPr>
          <w:sz w:val="24"/>
        </w:rPr>
      </w:pPr>
    </w:p>
    <w:p w14:paraId="6FC7CF6C" w14:textId="1952B12D" w:rsidR="00AD4288" w:rsidRPr="002C60EF" w:rsidRDefault="002C60EF" w:rsidP="002C60EF">
      <w:pPr>
        <w:pStyle w:val="Tijeloteksta10"/>
        <w:shd w:val="clear" w:color="auto" w:fill="auto"/>
        <w:ind w:right="20" w:firstLine="0"/>
        <w:rPr>
          <w:sz w:val="24"/>
          <w:szCs w:val="24"/>
        </w:rPr>
      </w:pPr>
      <w:r w:rsidRPr="00060A59">
        <w:rPr>
          <w:sz w:val="24"/>
          <w:szCs w:val="24"/>
        </w:rPr>
        <w:t>Svrha Poziva je uspostava redov</w:t>
      </w:r>
      <w:r>
        <w:rPr>
          <w:sz w:val="24"/>
          <w:szCs w:val="24"/>
        </w:rPr>
        <w:t>itog i trajnog</w:t>
      </w:r>
      <w:r w:rsidRPr="00060A59">
        <w:rPr>
          <w:sz w:val="24"/>
          <w:szCs w:val="24"/>
        </w:rPr>
        <w:t xml:space="preserve"> funkcioniranja sustava </w:t>
      </w:r>
      <w:r>
        <w:rPr>
          <w:sz w:val="24"/>
          <w:szCs w:val="24"/>
        </w:rPr>
        <w:t xml:space="preserve">javne </w:t>
      </w:r>
      <w:r w:rsidRPr="00060A59">
        <w:rPr>
          <w:sz w:val="24"/>
          <w:szCs w:val="24"/>
        </w:rPr>
        <w:t xml:space="preserve">vodoopskrbe i </w:t>
      </w:r>
      <w:r>
        <w:rPr>
          <w:sz w:val="24"/>
          <w:szCs w:val="24"/>
        </w:rPr>
        <w:t>odvodnje kroz</w:t>
      </w:r>
      <w:r w:rsidRPr="00060A59">
        <w:rPr>
          <w:sz w:val="24"/>
          <w:szCs w:val="24"/>
        </w:rPr>
        <w:t xml:space="preserve"> obnov</w:t>
      </w:r>
      <w:r>
        <w:rPr>
          <w:sz w:val="24"/>
          <w:szCs w:val="24"/>
        </w:rPr>
        <w:t>u</w:t>
      </w:r>
      <w:r w:rsidRPr="00060A59">
        <w:rPr>
          <w:sz w:val="24"/>
          <w:szCs w:val="24"/>
        </w:rPr>
        <w:t xml:space="preserve"> i dovođenje </w:t>
      </w:r>
      <w:r>
        <w:rPr>
          <w:sz w:val="24"/>
          <w:szCs w:val="24"/>
        </w:rPr>
        <w:t xml:space="preserve">navedene </w:t>
      </w:r>
      <w:r w:rsidRPr="00060A59">
        <w:rPr>
          <w:sz w:val="24"/>
          <w:szCs w:val="24"/>
        </w:rPr>
        <w:t xml:space="preserve">infrastrukture </w:t>
      </w:r>
      <w:r>
        <w:rPr>
          <w:sz w:val="24"/>
          <w:szCs w:val="24"/>
        </w:rPr>
        <w:t xml:space="preserve">na razinu prije potresa nadoknadom bespovratnih sredstava iz FSEU kroz operaciju </w:t>
      </w:r>
      <w:r w:rsidRPr="00231C1C">
        <w:rPr>
          <w:sz w:val="24"/>
          <w:szCs w:val="24"/>
        </w:rPr>
        <w:t>Vraćanje u ispravno radno stanje infrastrukture i pogona u području vodoopskrbe i upravljanja otpadnim vodama</w:t>
      </w:r>
      <w:r>
        <w:rPr>
          <w:sz w:val="24"/>
          <w:szCs w:val="24"/>
        </w:rPr>
        <w:t xml:space="preserve">. </w:t>
      </w:r>
    </w:p>
    <w:p w14:paraId="1C80CE79" w14:textId="5E4ABACE" w:rsidR="00161FE8" w:rsidRPr="000B57AB" w:rsidRDefault="00AD4288" w:rsidP="00AD4288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0B57AB">
        <w:rPr>
          <w:b/>
          <w:sz w:val="24"/>
          <w:szCs w:val="24"/>
        </w:rPr>
        <w:t>Ukupna raspoloživa financijska sredstva</w:t>
      </w:r>
    </w:p>
    <w:p w14:paraId="36C6CDC7" w14:textId="4F4ECDDE" w:rsidR="002C60EF" w:rsidRPr="000B57AB" w:rsidRDefault="007C4615" w:rsidP="002A4A3E">
      <w:pPr>
        <w:ind w:left="-5"/>
        <w:rPr>
          <w:sz w:val="24"/>
          <w:szCs w:val="24"/>
        </w:rPr>
      </w:pPr>
      <w:r w:rsidRPr="000B57AB">
        <w:rPr>
          <w:sz w:val="24"/>
          <w:szCs w:val="24"/>
        </w:rPr>
        <w:t xml:space="preserve">Ukupan raspoloživ iznos bespovratnih financijskih sredstava za dodjelu u okviru ovog Poziva je </w:t>
      </w:r>
      <w:r w:rsidR="002C60EF" w:rsidRPr="002C60EF">
        <w:rPr>
          <w:b/>
          <w:sz w:val="24"/>
          <w:szCs w:val="24"/>
        </w:rPr>
        <w:t xml:space="preserve">281.209.791,34 </w:t>
      </w:r>
      <w:r w:rsidR="00277A40" w:rsidRPr="000B57AB">
        <w:rPr>
          <w:b/>
          <w:sz w:val="24"/>
          <w:szCs w:val="24"/>
        </w:rPr>
        <w:t>kuna</w:t>
      </w:r>
      <w:r w:rsidR="0047026B" w:rsidRPr="000B57AB">
        <w:rPr>
          <w:sz w:val="24"/>
          <w:szCs w:val="24"/>
        </w:rPr>
        <w:t>,</w:t>
      </w:r>
      <w:r w:rsidRPr="000B57AB">
        <w:rPr>
          <w:sz w:val="24"/>
          <w:szCs w:val="24"/>
        </w:rPr>
        <w:t xml:space="preserve"> koji je</w:t>
      </w:r>
      <w:r w:rsidR="001656F7" w:rsidRPr="000B57AB">
        <w:rPr>
          <w:sz w:val="24"/>
          <w:szCs w:val="24"/>
        </w:rPr>
        <w:t xml:space="preserve"> osiguran u Državnom proračunu, iz Fonda solidarnosti Europske unije (FSEU). </w:t>
      </w:r>
    </w:p>
    <w:p w14:paraId="40EF339F" w14:textId="56ACD26C" w:rsidR="00161FE8" w:rsidRPr="000B57AB" w:rsidRDefault="00AD4288" w:rsidP="00AD4288">
      <w:pPr>
        <w:ind w:left="-5"/>
        <w:rPr>
          <w:b/>
          <w:sz w:val="24"/>
          <w:szCs w:val="24"/>
        </w:rPr>
      </w:pPr>
      <w:r w:rsidRPr="000B57AB">
        <w:rPr>
          <w:b/>
          <w:sz w:val="24"/>
          <w:szCs w:val="24"/>
        </w:rPr>
        <w:t>3. Prihvatljivi prijavitelji</w:t>
      </w:r>
    </w:p>
    <w:p w14:paraId="0A196F71" w14:textId="6C86D598" w:rsidR="0047026B" w:rsidRPr="000860F0" w:rsidRDefault="00933A8E" w:rsidP="000860F0">
      <w:pPr>
        <w:pStyle w:val="Odlomakpopisa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prihvatljivi prijavitelji su</w:t>
      </w:r>
      <w:r w:rsidRPr="00933A8E">
        <w:rPr>
          <w:sz w:val="24"/>
          <w:szCs w:val="24"/>
        </w:rPr>
        <w:t xml:space="preserve"> </w:t>
      </w:r>
      <w:r>
        <w:rPr>
          <w:sz w:val="24"/>
          <w:szCs w:val="24"/>
        </w:rPr>
        <w:t>prethodno identificirani</w:t>
      </w:r>
      <w:r w:rsidRPr="00525BA7">
        <w:rPr>
          <w:sz w:val="24"/>
          <w:szCs w:val="24"/>
        </w:rPr>
        <w:t xml:space="preserve"> javni isporučitelji vodnih usluga (JIVU) koji na području</w:t>
      </w:r>
      <w:r>
        <w:rPr>
          <w:sz w:val="24"/>
          <w:szCs w:val="24"/>
        </w:rPr>
        <w:t xml:space="preserve"> navedenih</w:t>
      </w:r>
      <w:r w:rsidRPr="00525B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županija pogođenih potresom </w:t>
      </w:r>
      <w:r w:rsidR="00A6239E">
        <w:rPr>
          <w:sz w:val="24"/>
          <w:szCs w:val="24"/>
        </w:rPr>
        <w:t xml:space="preserve">28. i </w:t>
      </w:r>
      <w:r>
        <w:rPr>
          <w:sz w:val="24"/>
          <w:szCs w:val="24"/>
        </w:rPr>
        <w:t>29. prosinca 2020.</w:t>
      </w:r>
      <w:r w:rsidRPr="00525BA7">
        <w:rPr>
          <w:sz w:val="24"/>
          <w:szCs w:val="24"/>
        </w:rPr>
        <w:t xml:space="preserve"> p</w:t>
      </w:r>
      <w:r>
        <w:rPr>
          <w:sz w:val="24"/>
          <w:szCs w:val="24"/>
        </w:rPr>
        <w:t>ružaju uslugu javne vodoopskrbe</w:t>
      </w:r>
      <w:r w:rsidRPr="00525BA7">
        <w:rPr>
          <w:sz w:val="24"/>
          <w:szCs w:val="24"/>
        </w:rPr>
        <w:t xml:space="preserve"> odnosno javne odvodnje otpadnih voda</w:t>
      </w:r>
      <w:r>
        <w:rPr>
          <w:sz w:val="24"/>
          <w:szCs w:val="24"/>
        </w:rPr>
        <w:t xml:space="preserve">. Javni isporučitelji vodnih usluga su društva kapitala osnovana </w:t>
      </w:r>
      <w:r w:rsidR="002C60EF" w:rsidRPr="00933A8E">
        <w:rPr>
          <w:sz w:val="24"/>
          <w:szCs w:val="24"/>
        </w:rPr>
        <w:t xml:space="preserve">sukladno Zakonu o vodnim uslugama, </w:t>
      </w:r>
      <w:r>
        <w:rPr>
          <w:sz w:val="24"/>
          <w:szCs w:val="24"/>
        </w:rPr>
        <w:t xml:space="preserve">kojima su jedini osnivači </w:t>
      </w:r>
      <w:r>
        <w:rPr>
          <w:sz w:val="24"/>
          <w:szCs w:val="24"/>
        </w:rPr>
        <w:lastRenderedPageBreak/>
        <w:t>i vlasnici</w:t>
      </w:r>
      <w:r w:rsidR="002C60EF" w:rsidRPr="00933A8E">
        <w:rPr>
          <w:sz w:val="24"/>
          <w:szCs w:val="24"/>
        </w:rPr>
        <w:t xml:space="preserve"> jedinic</w:t>
      </w:r>
      <w:r>
        <w:rPr>
          <w:sz w:val="24"/>
          <w:szCs w:val="24"/>
        </w:rPr>
        <w:t>e</w:t>
      </w:r>
      <w:r w:rsidR="002C60EF" w:rsidRPr="00933A8E">
        <w:rPr>
          <w:sz w:val="24"/>
          <w:szCs w:val="24"/>
        </w:rPr>
        <w:t xml:space="preserve"> lokalne samouprave odnosno pravn</w:t>
      </w:r>
      <w:r>
        <w:rPr>
          <w:sz w:val="24"/>
          <w:szCs w:val="24"/>
        </w:rPr>
        <w:t>e</w:t>
      </w:r>
      <w:r w:rsidR="002C60EF" w:rsidRPr="00933A8E">
        <w:rPr>
          <w:sz w:val="24"/>
          <w:szCs w:val="24"/>
        </w:rPr>
        <w:t xml:space="preserve"> osob</w:t>
      </w:r>
      <w:r>
        <w:rPr>
          <w:sz w:val="24"/>
          <w:szCs w:val="24"/>
        </w:rPr>
        <w:t>e</w:t>
      </w:r>
      <w:r w:rsidR="002C60EF" w:rsidRPr="00933A8E">
        <w:rPr>
          <w:sz w:val="24"/>
          <w:szCs w:val="24"/>
        </w:rPr>
        <w:t xml:space="preserve"> čiji je jedini osnivač jedinica lokalne samouprave. </w:t>
      </w:r>
    </w:p>
    <w:p w14:paraId="64884A29" w14:textId="1E33B001" w:rsidR="00BA57CD" w:rsidRPr="000B57AB" w:rsidRDefault="00BA57CD" w:rsidP="00BA57CD">
      <w:pPr>
        <w:pStyle w:val="Odlomakpopisa"/>
        <w:numPr>
          <w:ilvl w:val="0"/>
          <w:numId w:val="5"/>
        </w:numPr>
        <w:spacing w:after="5" w:line="250" w:lineRule="auto"/>
        <w:ind w:right="116"/>
        <w:rPr>
          <w:b/>
          <w:sz w:val="24"/>
          <w:szCs w:val="24"/>
        </w:rPr>
      </w:pPr>
      <w:r w:rsidRPr="000B57AB">
        <w:rPr>
          <w:b/>
          <w:sz w:val="24"/>
          <w:szCs w:val="24"/>
        </w:rPr>
        <w:t>Prihvatljive aktivnosti</w:t>
      </w:r>
    </w:p>
    <w:p w14:paraId="3FF3E4AA" w14:textId="77777777" w:rsidR="00BA57CD" w:rsidRPr="000B57AB" w:rsidRDefault="00BA57CD" w:rsidP="00BA57CD">
      <w:pPr>
        <w:pStyle w:val="Odlomakpopisa"/>
        <w:spacing w:after="5" w:line="250" w:lineRule="auto"/>
        <w:ind w:left="345" w:right="116" w:firstLine="0"/>
        <w:rPr>
          <w:sz w:val="24"/>
          <w:szCs w:val="24"/>
        </w:rPr>
      </w:pPr>
    </w:p>
    <w:p w14:paraId="358D6250" w14:textId="183B6704" w:rsidR="00A62425" w:rsidRPr="000B57AB" w:rsidRDefault="007C4615" w:rsidP="00BA57CD">
      <w:pPr>
        <w:spacing w:after="211"/>
        <w:ind w:left="-5"/>
        <w:rPr>
          <w:sz w:val="24"/>
          <w:szCs w:val="24"/>
        </w:rPr>
      </w:pPr>
      <w:r w:rsidRPr="000B57AB">
        <w:rPr>
          <w:sz w:val="24"/>
          <w:szCs w:val="24"/>
        </w:rPr>
        <w:t xml:space="preserve">Prihvatljive aktivnosti koje se mogu financirati u okviru ovog Poziva su:  </w:t>
      </w:r>
    </w:p>
    <w:p w14:paraId="47834F22" w14:textId="137FB5D4" w:rsidR="00AE3F69" w:rsidRDefault="00A62425" w:rsidP="00BA57CD">
      <w:pPr>
        <w:pStyle w:val="Odlomakpopisa"/>
        <w:numPr>
          <w:ilvl w:val="0"/>
          <w:numId w:val="4"/>
        </w:numPr>
        <w:spacing w:after="0" w:line="259" w:lineRule="auto"/>
        <w:jc w:val="left"/>
        <w:rPr>
          <w:b/>
          <w:sz w:val="24"/>
          <w:szCs w:val="24"/>
        </w:rPr>
      </w:pPr>
      <w:r w:rsidRPr="000B57AB">
        <w:rPr>
          <w:b/>
          <w:sz w:val="24"/>
          <w:szCs w:val="24"/>
        </w:rPr>
        <w:t xml:space="preserve">Grupa </w:t>
      </w:r>
      <w:r w:rsidR="00E1433B" w:rsidRPr="000B57AB">
        <w:rPr>
          <w:b/>
          <w:sz w:val="24"/>
          <w:szCs w:val="24"/>
        </w:rPr>
        <w:t>1</w:t>
      </w:r>
      <w:r w:rsidRPr="000B57AB">
        <w:rPr>
          <w:b/>
          <w:sz w:val="24"/>
          <w:szCs w:val="24"/>
        </w:rPr>
        <w:t xml:space="preserve">.: </w:t>
      </w:r>
      <w:r w:rsidR="00AE3F69" w:rsidRPr="00AD0EF0">
        <w:rPr>
          <w:b/>
          <w:sz w:val="24"/>
          <w:szCs w:val="24"/>
        </w:rPr>
        <w:t>Hitne mjere sanacije</w:t>
      </w:r>
    </w:p>
    <w:p w14:paraId="2A642CFC" w14:textId="6350D7A0" w:rsidR="00A62425" w:rsidRPr="000B57AB" w:rsidRDefault="00AE3F69" w:rsidP="00BA57CD">
      <w:pPr>
        <w:pStyle w:val="Odlomakpopisa"/>
        <w:numPr>
          <w:ilvl w:val="0"/>
          <w:numId w:val="4"/>
        </w:numPr>
        <w:spacing w:after="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Grupa 2.: </w:t>
      </w:r>
      <w:r w:rsidR="00A62425" w:rsidRPr="000B57AB">
        <w:rPr>
          <w:b/>
          <w:sz w:val="24"/>
          <w:szCs w:val="24"/>
        </w:rPr>
        <w:t xml:space="preserve">Priprema projektno-tehničke dokumentacije  </w:t>
      </w:r>
    </w:p>
    <w:p w14:paraId="601E8D9F" w14:textId="239AFCF6" w:rsidR="00A62425" w:rsidRPr="00AE3F69" w:rsidRDefault="00E1433B" w:rsidP="00AE3F69">
      <w:pPr>
        <w:pStyle w:val="Odlomakpopisa"/>
        <w:numPr>
          <w:ilvl w:val="0"/>
          <w:numId w:val="4"/>
        </w:numPr>
        <w:spacing w:after="0" w:line="259" w:lineRule="auto"/>
        <w:jc w:val="left"/>
        <w:rPr>
          <w:b/>
          <w:sz w:val="24"/>
          <w:szCs w:val="24"/>
        </w:rPr>
      </w:pPr>
      <w:r w:rsidRPr="000B57AB">
        <w:rPr>
          <w:b/>
          <w:sz w:val="24"/>
          <w:szCs w:val="24"/>
        </w:rPr>
        <w:t xml:space="preserve">Grupa </w:t>
      </w:r>
      <w:r w:rsidR="00AE3F69">
        <w:rPr>
          <w:b/>
          <w:sz w:val="24"/>
          <w:szCs w:val="24"/>
        </w:rPr>
        <w:t>3</w:t>
      </w:r>
      <w:r w:rsidR="00A62425" w:rsidRPr="000B57AB">
        <w:rPr>
          <w:b/>
          <w:sz w:val="24"/>
          <w:szCs w:val="24"/>
        </w:rPr>
        <w:t>.: Izvedba radova</w:t>
      </w:r>
    </w:p>
    <w:p w14:paraId="43BE6645" w14:textId="77777777" w:rsidR="004966D2" w:rsidRPr="004966D2" w:rsidRDefault="00E1433B" w:rsidP="00BA57CD">
      <w:pPr>
        <w:pStyle w:val="Odlomakpopisa"/>
        <w:numPr>
          <w:ilvl w:val="0"/>
          <w:numId w:val="4"/>
        </w:numPr>
        <w:spacing w:after="0" w:line="259" w:lineRule="auto"/>
        <w:jc w:val="left"/>
        <w:rPr>
          <w:sz w:val="24"/>
          <w:szCs w:val="24"/>
        </w:rPr>
      </w:pPr>
      <w:r w:rsidRPr="000B57AB">
        <w:rPr>
          <w:b/>
          <w:sz w:val="24"/>
          <w:szCs w:val="24"/>
        </w:rPr>
        <w:t xml:space="preserve">Grupa </w:t>
      </w:r>
      <w:r w:rsidR="00AE3F69">
        <w:rPr>
          <w:b/>
          <w:sz w:val="24"/>
          <w:szCs w:val="24"/>
        </w:rPr>
        <w:t>4.</w:t>
      </w:r>
      <w:r w:rsidR="00A62425" w:rsidRPr="000B57AB">
        <w:rPr>
          <w:b/>
          <w:sz w:val="24"/>
          <w:szCs w:val="24"/>
        </w:rPr>
        <w:t>: Upravljanje projektom i administracija</w:t>
      </w:r>
    </w:p>
    <w:p w14:paraId="19CA020A" w14:textId="77777777" w:rsidR="004966D2" w:rsidRDefault="004966D2" w:rsidP="004966D2">
      <w:pPr>
        <w:spacing w:after="0" w:line="259" w:lineRule="auto"/>
        <w:jc w:val="left"/>
        <w:rPr>
          <w:b/>
          <w:sz w:val="24"/>
          <w:szCs w:val="24"/>
        </w:rPr>
      </w:pPr>
    </w:p>
    <w:p w14:paraId="0F3A9E81" w14:textId="14294740" w:rsidR="00161FE8" w:rsidRPr="00785B3A" w:rsidRDefault="00785B3A" w:rsidP="00785B3A">
      <w:pPr>
        <w:pStyle w:val="Tijeloteksta10"/>
        <w:shd w:val="clear" w:color="auto" w:fill="auto"/>
        <w:spacing w:after="0" w:line="240" w:lineRule="auto"/>
        <w:ind w:right="20" w:firstLine="0"/>
        <w:rPr>
          <w:b/>
          <w:sz w:val="24"/>
          <w:szCs w:val="24"/>
        </w:rPr>
      </w:pPr>
      <w:r w:rsidRPr="00060A59">
        <w:rPr>
          <w:sz w:val="24"/>
          <w:szCs w:val="24"/>
        </w:rPr>
        <w:t xml:space="preserve">Dopušteni su radovi odnosno obnova </w:t>
      </w:r>
      <w:r w:rsidRPr="00785B3A">
        <w:rPr>
          <w:b/>
          <w:sz w:val="24"/>
          <w:szCs w:val="24"/>
        </w:rPr>
        <w:t>samo do razine vraćanja u funkcionalno stanje što znači vraćanje infrastrukture i pogona u stanje u kakvom su bili prije prirodne katastrofe.</w:t>
      </w:r>
      <w:r w:rsidRPr="00060A59">
        <w:rPr>
          <w:sz w:val="24"/>
          <w:szCs w:val="24"/>
        </w:rPr>
        <w:t xml:space="preserve"> Kada vraćanje u stanje prije prirodne katastrofe nije pravno moguće ili gospodarski opravdano, ili kada </w:t>
      </w:r>
      <w:r>
        <w:rPr>
          <w:sz w:val="24"/>
          <w:szCs w:val="24"/>
        </w:rPr>
        <w:t>se ista</w:t>
      </w:r>
      <w:r w:rsidRPr="00060A59">
        <w:rPr>
          <w:sz w:val="24"/>
          <w:szCs w:val="24"/>
        </w:rPr>
        <w:t xml:space="preserve"> odluči premjestiti ili poboljšati</w:t>
      </w:r>
      <w:r>
        <w:rPr>
          <w:sz w:val="24"/>
          <w:szCs w:val="24"/>
        </w:rPr>
        <w:t xml:space="preserve"> njezino</w:t>
      </w:r>
      <w:r w:rsidRPr="00060A59">
        <w:rPr>
          <w:sz w:val="24"/>
          <w:szCs w:val="24"/>
        </w:rPr>
        <w:t xml:space="preserve"> funkcioniranje</w:t>
      </w:r>
      <w:r>
        <w:rPr>
          <w:sz w:val="24"/>
          <w:szCs w:val="24"/>
        </w:rPr>
        <w:t>,</w:t>
      </w:r>
      <w:r w:rsidRPr="00060A59">
        <w:rPr>
          <w:sz w:val="24"/>
          <w:szCs w:val="24"/>
        </w:rPr>
        <w:t xml:space="preserve"> kako bi se poboljšal</w:t>
      </w:r>
      <w:r>
        <w:rPr>
          <w:sz w:val="24"/>
          <w:szCs w:val="24"/>
        </w:rPr>
        <w:t>a</w:t>
      </w:r>
      <w:r w:rsidRPr="00060A59">
        <w:rPr>
          <w:sz w:val="24"/>
          <w:szCs w:val="24"/>
        </w:rPr>
        <w:t xml:space="preserve"> otpornost na buduće prirodne katastrofe, FSEU može doprinijeti troškovima obnavljanja </w:t>
      </w:r>
      <w:r w:rsidRPr="00785B3A">
        <w:rPr>
          <w:b/>
          <w:sz w:val="24"/>
          <w:szCs w:val="24"/>
        </w:rPr>
        <w:t>samo do procijenjenog troška za vraćanje u prijašnje stanje.</w:t>
      </w:r>
      <w:r w:rsidR="00A62425" w:rsidRPr="00785B3A">
        <w:rPr>
          <w:b/>
          <w:sz w:val="24"/>
          <w:szCs w:val="24"/>
        </w:rPr>
        <w:t xml:space="preserve"> </w:t>
      </w:r>
      <w:r w:rsidR="007C4615" w:rsidRPr="00785B3A">
        <w:rPr>
          <w:b/>
          <w:sz w:val="24"/>
          <w:szCs w:val="24"/>
        </w:rPr>
        <w:t xml:space="preserve"> </w:t>
      </w:r>
    </w:p>
    <w:p w14:paraId="6D22A684" w14:textId="77777777" w:rsidR="00BA57CD" w:rsidRPr="000B57AB" w:rsidRDefault="00BA57CD" w:rsidP="00BA57CD">
      <w:pPr>
        <w:pStyle w:val="Odlomakpopisa"/>
        <w:spacing w:after="0" w:line="259" w:lineRule="auto"/>
        <w:ind w:firstLine="0"/>
        <w:jc w:val="left"/>
        <w:rPr>
          <w:sz w:val="24"/>
          <w:szCs w:val="24"/>
        </w:rPr>
      </w:pPr>
    </w:p>
    <w:p w14:paraId="56DF645F" w14:textId="773E6DDC" w:rsidR="00161FE8" w:rsidRPr="000B57AB" w:rsidRDefault="007C4615" w:rsidP="00BA57CD">
      <w:pPr>
        <w:pStyle w:val="Naslov1"/>
        <w:numPr>
          <w:ilvl w:val="0"/>
          <w:numId w:val="5"/>
        </w:numPr>
        <w:spacing w:after="170"/>
        <w:ind w:right="0"/>
        <w:rPr>
          <w:sz w:val="24"/>
          <w:szCs w:val="24"/>
        </w:rPr>
      </w:pPr>
      <w:r w:rsidRPr="000B57AB">
        <w:rPr>
          <w:sz w:val="24"/>
          <w:szCs w:val="24"/>
        </w:rPr>
        <w:t xml:space="preserve">Administrativni podaci </w:t>
      </w:r>
    </w:p>
    <w:p w14:paraId="531A827A" w14:textId="2A9D6789" w:rsidR="00161FE8" w:rsidRDefault="007C4615">
      <w:pPr>
        <w:ind w:left="-5"/>
        <w:rPr>
          <w:sz w:val="24"/>
          <w:szCs w:val="24"/>
        </w:rPr>
      </w:pPr>
      <w:r w:rsidRPr="000B57AB">
        <w:rPr>
          <w:sz w:val="24"/>
          <w:szCs w:val="24"/>
        </w:rPr>
        <w:t xml:space="preserve">Poziv se provodi kao </w:t>
      </w:r>
      <w:r w:rsidR="007F4878">
        <w:rPr>
          <w:sz w:val="24"/>
          <w:szCs w:val="24"/>
        </w:rPr>
        <w:t>ograničeni</w:t>
      </w:r>
      <w:r w:rsidRPr="000B57AB">
        <w:rPr>
          <w:sz w:val="24"/>
          <w:szCs w:val="24"/>
        </w:rPr>
        <w:t xml:space="preserve"> postupak s krajnjim rokom dostave projektnih prijedloga do iskorištenja financijske alokacije, odnosno najkasnije do 30.</w:t>
      </w:r>
      <w:r w:rsidR="007F4878">
        <w:rPr>
          <w:sz w:val="24"/>
          <w:szCs w:val="24"/>
        </w:rPr>
        <w:t xml:space="preserve"> svibnja </w:t>
      </w:r>
      <w:r w:rsidRPr="000B57AB">
        <w:rPr>
          <w:sz w:val="24"/>
          <w:szCs w:val="24"/>
        </w:rPr>
        <w:t>202</w:t>
      </w:r>
      <w:r w:rsidR="007F4878">
        <w:rPr>
          <w:sz w:val="24"/>
          <w:szCs w:val="24"/>
        </w:rPr>
        <w:t>2</w:t>
      </w:r>
      <w:r w:rsidRPr="000B57AB">
        <w:rPr>
          <w:sz w:val="24"/>
          <w:szCs w:val="24"/>
        </w:rPr>
        <w:t xml:space="preserve">. godine, ovisno što nastupa ranije. </w:t>
      </w:r>
    </w:p>
    <w:p w14:paraId="7399AC89" w14:textId="14514A81" w:rsidR="00822082" w:rsidRDefault="007F2579" w:rsidP="008220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2579">
        <w:rPr>
          <w:rFonts w:ascii="Times New Roman" w:hAnsi="Times New Roman" w:cs="Times New Roman"/>
          <w:sz w:val="24"/>
          <w:szCs w:val="24"/>
        </w:rPr>
        <w:t>Provedba operacije smije započeti najranije 28. prosinca 2020. godine, a mora se dovršiti do 15. svibnja 2023. godine, s mogućnošću produljenja u opravdanim slučajevima ako tako nadležan TOPFD odluči.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082" w:rsidRPr="00822082">
        <w:rPr>
          <w:rFonts w:ascii="Times New Roman" w:hAnsi="Times New Roman" w:cs="Times New Roman"/>
          <w:sz w:val="24"/>
          <w:szCs w:val="24"/>
        </w:rPr>
        <w:t>Ukoliko provedba operacije traje dulje od navedenog roka, troškovi će se financirati iz vlastitih sredstava prijavitelja</w:t>
      </w:r>
      <w:r w:rsidR="00822082" w:rsidRPr="00DD515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EE22569" w14:textId="77777777" w:rsidR="00822082" w:rsidRPr="00822082" w:rsidRDefault="00822082" w:rsidP="00822082">
      <w:pPr>
        <w:pStyle w:val="Bezproreda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B0C66BA" w14:textId="77777777" w:rsidR="00161FE8" w:rsidRPr="000B57AB" w:rsidRDefault="007C4615">
      <w:pPr>
        <w:ind w:left="-5"/>
        <w:rPr>
          <w:sz w:val="24"/>
          <w:szCs w:val="24"/>
        </w:rPr>
      </w:pPr>
      <w:r w:rsidRPr="000B57AB">
        <w:rPr>
          <w:sz w:val="24"/>
          <w:szCs w:val="24"/>
        </w:rPr>
        <w:t xml:space="preserve">Dostava projektnog prijedloga dozvoljena je najranije od dana objave Poziva. </w:t>
      </w:r>
    </w:p>
    <w:p w14:paraId="1EF280A7" w14:textId="03D05CAB" w:rsidR="00161FE8" w:rsidRPr="000B57AB" w:rsidRDefault="007C4615">
      <w:pPr>
        <w:ind w:left="-5"/>
        <w:rPr>
          <w:sz w:val="24"/>
          <w:szCs w:val="24"/>
        </w:rPr>
      </w:pPr>
      <w:r w:rsidRPr="000B57AB">
        <w:rPr>
          <w:sz w:val="24"/>
          <w:szCs w:val="24"/>
        </w:rPr>
        <w:t xml:space="preserve">Obrazložena informacija  o izmjenama Poziva, zatvaranju Poziva i obustavu Poziva, kao i sam Poziv objavljuju se na internetskim stranicama </w:t>
      </w:r>
      <w:hyperlink r:id="rId11">
        <w:r w:rsidRPr="000B57AB">
          <w:rPr>
            <w:color w:val="159BC4"/>
            <w:sz w:val="24"/>
            <w:szCs w:val="24"/>
          </w:rPr>
          <w:t>www.strukturnifondovi.hr</w:t>
        </w:r>
      </w:hyperlink>
      <w:hyperlink r:id="rId12"/>
      <w:r w:rsidR="00A62425" w:rsidRPr="000B57AB">
        <w:rPr>
          <w:sz w:val="24"/>
          <w:szCs w:val="24"/>
        </w:rPr>
        <w:t xml:space="preserve"> i </w:t>
      </w:r>
      <w:r w:rsidRPr="000B57AB">
        <w:rPr>
          <w:sz w:val="24"/>
          <w:szCs w:val="24"/>
        </w:rPr>
        <w:t xml:space="preserve">internetskim stranicama Ministarstva </w:t>
      </w:r>
      <w:r w:rsidR="0047026B" w:rsidRPr="000B57AB">
        <w:rPr>
          <w:sz w:val="24"/>
          <w:szCs w:val="24"/>
        </w:rPr>
        <w:t>gospodarstva i održivog razvoja</w:t>
      </w:r>
      <w:hyperlink r:id="rId13">
        <w:r w:rsidRPr="000B57AB">
          <w:rPr>
            <w:sz w:val="24"/>
            <w:szCs w:val="24"/>
          </w:rPr>
          <w:t xml:space="preserve"> </w:t>
        </w:r>
      </w:hyperlink>
      <w:hyperlink r:id="rId14" w:history="1">
        <w:r w:rsidR="00BA57CD" w:rsidRPr="000B57AB">
          <w:rPr>
            <w:rStyle w:val="Hiperveza"/>
            <w:sz w:val="24"/>
            <w:szCs w:val="24"/>
          </w:rPr>
          <w:t>https://mingor.gov.hr/</w:t>
        </w:r>
      </w:hyperlink>
      <w:r w:rsidR="00BA57CD" w:rsidRPr="000B57AB">
        <w:rPr>
          <w:sz w:val="24"/>
          <w:szCs w:val="24"/>
        </w:rPr>
        <w:t xml:space="preserve">. </w:t>
      </w:r>
    </w:p>
    <w:p w14:paraId="66B6AA32" w14:textId="74C5AF74" w:rsidR="00161FE8" w:rsidRPr="000B57AB" w:rsidRDefault="00A62425" w:rsidP="00BA57CD">
      <w:pPr>
        <w:ind w:left="-5"/>
        <w:rPr>
          <w:sz w:val="24"/>
          <w:szCs w:val="24"/>
        </w:rPr>
      </w:pPr>
      <w:r w:rsidRPr="000B57AB">
        <w:rPr>
          <w:sz w:val="24"/>
          <w:szCs w:val="24"/>
        </w:rPr>
        <w:t>Poziv se obustavlja u trenutku kada iznos</w:t>
      </w:r>
      <w:bookmarkStart w:id="0" w:name="_GoBack"/>
      <w:bookmarkEnd w:id="0"/>
      <w:r w:rsidRPr="000B57AB">
        <w:rPr>
          <w:sz w:val="24"/>
          <w:szCs w:val="24"/>
        </w:rPr>
        <w:t xml:space="preserve"> traženih bespovratnih sredstava zaprimljenih projektnih prijedloga </w:t>
      </w:r>
      <w:r w:rsidR="003A2776" w:rsidRPr="000B57AB">
        <w:rPr>
          <w:sz w:val="24"/>
          <w:szCs w:val="24"/>
        </w:rPr>
        <w:t>dosegne najviše 200% raspoložive alokacije bespovratnih sredstava Poziva.</w:t>
      </w:r>
    </w:p>
    <w:p w14:paraId="39246C9C" w14:textId="29D07894" w:rsidR="00BA57CD" w:rsidRPr="000B57AB" w:rsidRDefault="007C4615" w:rsidP="00BA57CD">
      <w:pPr>
        <w:ind w:left="-5"/>
        <w:rPr>
          <w:b/>
          <w:sz w:val="24"/>
          <w:szCs w:val="24"/>
        </w:rPr>
      </w:pPr>
      <w:r w:rsidRPr="000B57AB">
        <w:rPr>
          <w:sz w:val="24"/>
          <w:szCs w:val="24"/>
        </w:rPr>
        <w:t xml:space="preserve">Projektni prijedlog se podnosi Ministarstvu </w:t>
      </w:r>
      <w:r w:rsidR="0047026B" w:rsidRPr="000B57AB">
        <w:rPr>
          <w:sz w:val="24"/>
          <w:szCs w:val="24"/>
        </w:rPr>
        <w:t>gospodarstva i održivog razvoja</w:t>
      </w:r>
      <w:r w:rsidRPr="000B57AB">
        <w:rPr>
          <w:sz w:val="24"/>
          <w:szCs w:val="24"/>
        </w:rPr>
        <w:t xml:space="preserve">, kao tijelu odgovornom za provedbu financijskog doprinosa, putem pošte, predajom u pisarnicu tijela na adresu: </w:t>
      </w:r>
      <w:r w:rsidRPr="000B57AB">
        <w:rPr>
          <w:b/>
          <w:sz w:val="24"/>
          <w:szCs w:val="24"/>
        </w:rPr>
        <w:t>Min</w:t>
      </w:r>
      <w:r w:rsidR="0047026B" w:rsidRPr="000B57AB">
        <w:rPr>
          <w:b/>
          <w:sz w:val="24"/>
          <w:szCs w:val="24"/>
        </w:rPr>
        <w:t>istarstvo gospodarstva i održivog razvoja, Radnička cesta 80</w:t>
      </w:r>
      <w:r w:rsidRPr="000B57AB">
        <w:rPr>
          <w:b/>
          <w:sz w:val="24"/>
          <w:szCs w:val="24"/>
        </w:rPr>
        <w:t>, 10 000 Zagreb.</w:t>
      </w:r>
    </w:p>
    <w:p w14:paraId="7F86A1EC" w14:textId="52C7C539" w:rsidR="00161FE8" w:rsidRPr="000B57AB" w:rsidRDefault="007C4615" w:rsidP="00BA57CD">
      <w:pPr>
        <w:pStyle w:val="Naslov1"/>
        <w:numPr>
          <w:ilvl w:val="0"/>
          <w:numId w:val="5"/>
        </w:numPr>
        <w:spacing w:after="252"/>
        <w:ind w:right="0"/>
        <w:rPr>
          <w:sz w:val="24"/>
          <w:szCs w:val="24"/>
        </w:rPr>
      </w:pPr>
      <w:r w:rsidRPr="000B57AB">
        <w:rPr>
          <w:sz w:val="24"/>
          <w:szCs w:val="24"/>
        </w:rPr>
        <w:t xml:space="preserve">Pitanja i odgovori </w:t>
      </w:r>
    </w:p>
    <w:p w14:paraId="6AFEE3B3" w14:textId="46D3ACA9" w:rsidR="00161FE8" w:rsidRPr="000B57AB" w:rsidRDefault="007C4615">
      <w:pPr>
        <w:spacing w:after="286"/>
        <w:ind w:left="-5"/>
        <w:rPr>
          <w:sz w:val="24"/>
          <w:szCs w:val="24"/>
        </w:rPr>
      </w:pPr>
      <w:r w:rsidRPr="000B57AB">
        <w:rPr>
          <w:sz w:val="24"/>
          <w:szCs w:val="24"/>
        </w:rPr>
        <w:t xml:space="preserve">Pitanja s jasno naznačenom referencom na Poziv moguće je poslati putem elektroničke pošte na adresu: </w:t>
      </w:r>
      <w:r w:rsidR="00A62425" w:rsidRPr="000B57AB">
        <w:rPr>
          <w:color w:val="159BC4"/>
          <w:sz w:val="24"/>
          <w:szCs w:val="24"/>
        </w:rPr>
        <w:t>javnipoziv</w:t>
      </w:r>
      <w:r w:rsidR="00A6239E">
        <w:rPr>
          <w:color w:val="159BC4"/>
          <w:sz w:val="24"/>
          <w:szCs w:val="24"/>
        </w:rPr>
        <w:t>3</w:t>
      </w:r>
      <w:r w:rsidRPr="000B57AB">
        <w:rPr>
          <w:color w:val="159BC4"/>
          <w:sz w:val="24"/>
          <w:szCs w:val="24"/>
        </w:rPr>
        <w:t>@m</w:t>
      </w:r>
      <w:r w:rsidR="003F3FFE" w:rsidRPr="000B57AB">
        <w:rPr>
          <w:color w:val="159BC4"/>
          <w:sz w:val="24"/>
          <w:szCs w:val="24"/>
        </w:rPr>
        <w:t>ingor</w:t>
      </w:r>
      <w:r w:rsidRPr="000B57AB">
        <w:rPr>
          <w:color w:val="159BC4"/>
          <w:sz w:val="24"/>
          <w:szCs w:val="24"/>
        </w:rPr>
        <w:t>.hr</w:t>
      </w:r>
      <w:r w:rsidRPr="000B57AB">
        <w:rPr>
          <w:sz w:val="24"/>
          <w:szCs w:val="24"/>
        </w:rPr>
        <w:t xml:space="preserve">.  </w:t>
      </w:r>
    </w:p>
    <w:p w14:paraId="6ED00897" w14:textId="73754115" w:rsidR="00161FE8" w:rsidRPr="000B57AB" w:rsidRDefault="007C4615" w:rsidP="003905AF">
      <w:pPr>
        <w:spacing w:after="292"/>
        <w:ind w:left="-5"/>
        <w:rPr>
          <w:sz w:val="24"/>
          <w:szCs w:val="24"/>
        </w:rPr>
      </w:pPr>
      <w:r w:rsidRPr="000B57AB">
        <w:rPr>
          <w:sz w:val="24"/>
          <w:szCs w:val="24"/>
        </w:rPr>
        <w:t xml:space="preserve">Odgovori na postavljena pitanja će se objaviti tijekom postupka dodjele na internetskim stranicama </w:t>
      </w:r>
      <w:hyperlink r:id="rId15">
        <w:r w:rsidRPr="000B57AB">
          <w:rPr>
            <w:color w:val="159BC4"/>
            <w:sz w:val="24"/>
            <w:szCs w:val="24"/>
          </w:rPr>
          <w:t>www.strukturnifondovi.hr</w:t>
        </w:r>
      </w:hyperlink>
      <w:hyperlink r:id="rId16">
        <w:r w:rsidRPr="000B57AB">
          <w:rPr>
            <w:sz w:val="24"/>
            <w:szCs w:val="24"/>
          </w:rPr>
          <w:t xml:space="preserve"> </w:t>
        </w:r>
      </w:hyperlink>
      <w:r w:rsidRPr="000B57AB">
        <w:rPr>
          <w:sz w:val="24"/>
          <w:szCs w:val="24"/>
        </w:rPr>
        <w:t xml:space="preserve">i internetskim stranicama Ministarstva </w:t>
      </w:r>
      <w:r w:rsidR="00A62425" w:rsidRPr="000B57AB">
        <w:rPr>
          <w:sz w:val="24"/>
          <w:szCs w:val="24"/>
        </w:rPr>
        <w:t>gospodarstva i održivog razvoja  https://mingor.gov.hr/</w:t>
      </w:r>
      <w:hyperlink r:id="rId17">
        <w:r w:rsidRPr="000B57AB">
          <w:rPr>
            <w:sz w:val="24"/>
            <w:szCs w:val="24"/>
          </w:rPr>
          <w:t xml:space="preserve"> </w:t>
        </w:r>
      </w:hyperlink>
      <w:r w:rsidRPr="000B57AB">
        <w:rPr>
          <w:sz w:val="24"/>
          <w:szCs w:val="24"/>
        </w:rPr>
        <w:t xml:space="preserve">svakih 7 radnih dana.  </w:t>
      </w:r>
    </w:p>
    <w:p w14:paraId="08F30D49" w14:textId="1D3C8E93" w:rsidR="003905AF" w:rsidRPr="000B57AB" w:rsidRDefault="003905AF" w:rsidP="002A4A3E">
      <w:pPr>
        <w:spacing w:after="0" w:line="259" w:lineRule="auto"/>
        <w:ind w:left="0" w:right="3" w:firstLine="0"/>
        <w:rPr>
          <w:sz w:val="24"/>
          <w:szCs w:val="24"/>
        </w:rPr>
      </w:pPr>
    </w:p>
    <w:sectPr w:rsidR="003905AF" w:rsidRPr="000B57AB" w:rsidSect="002C60EF">
      <w:pgSz w:w="11906" w:h="16838"/>
      <w:pgMar w:top="1134" w:right="1134" w:bottom="1134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8CD0" w16cex:dateUtc="2022-01-03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D746B0" w16cid:durableId="257D8C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245"/>
    <w:multiLevelType w:val="hybridMultilevel"/>
    <w:tmpl w:val="1FC05CC8"/>
    <w:lvl w:ilvl="0" w:tplc="E5F23B80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065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8F1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4BD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C57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8C1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6D7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E83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2A8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255269"/>
    <w:multiLevelType w:val="hybridMultilevel"/>
    <w:tmpl w:val="9A9CE866"/>
    <w:lvl w:ilvl="0" w:tplc="1F3206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CD4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46E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02EF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F0B3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CD7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A71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885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CF6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91606"/>
    <w:multiLevelType w:val="hybridMultilevel"/>
    <w:tmpl w:val="21424470"/>
    <w:lvl w:ilvl="0" w:tplc="22CC381E">
      <w:start w:val="4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53703491"/>
    <w:multiLevelType w:val="hybridMultilevel"/>
    <w:tmpl w:val="9FEA4F84"/>
    <w:lvl w:ilvl="0" w:tplc="FE62889A">
      <w:start w:val="1"/>
      <w:numFmt w:val="bullet"/>
      <w:lvlText w:val="•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1679E"/>
    <w:multiLevelType w:val="hybridMultilevel"/>
    <w:tmpl w:val="B2226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4C31"/>
    <w:multiLevelType w:val="hybridMultilevel"/>
    <w:tmpl w:val="F3D26090"/>
    <w:lvl w:ilvl="0" w:tplc="3634C264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E8"/>
    <w:rsid w:val="000860F0"/>
    <w:rsid w:val="000A5928"/>
    <w:rsid w:val="000B57AB"/>
    <w:rsid w:val="00161FE8"/>
    <w:rsid w:val="001656F7"/>
    <w:rsid w:val="001E5E32"/>
    <w:rsid w:val="001F1CCB"/>
    <w:rsid w:val="00277A40"/>
    <w:rsid w:val="00297D77"/>
    <w:rsid w:val="002A4A3E"/>
    <w:rsid w:val="002C1766"/>
    <w:rsid w:val="002C60EF"/>
    <w:rsid w:val="003905AF"/>
    <w:rsid w:val="003A2776"/>
    <w:rsid w:val="003A70BA"/>
    <w:rsid w:val="003B1EF0"/>
    <w:rsid w:val="003F24F6"/>
    <w:rsid w:val="003F3FFE"/>
    <w:rsid w:val="00436D42"/>
    <w:rsid w:val="004453BE"/>
    <w:rsid w:val="0047026B"/>
    <w:rsid w:val="004966D2"/>
    <w:rsid w:val="006C17D0"/>
    <w:rsid w:val="00716C87"/>
    <w:rsid w:val="00717A45"/>
    <w:rsid w:val="00760E66"/>
    <w:rsid w:val="00776EEB"/>
    <w:rsid w:val="00781441"/>
    <w:rsid w:val="00785B3A"/>
    <w:rsid w:val="007C4615"/>
    <w:rsid w:val="007F2579"/>
    <w:rsid w:val="007F4878"/>
    <w:rsid w:val="00822082"/>
    <w:rsid w:val="009001E4"/>
    <w:rsid w:val="00933A8E"/>
    <w:rsid w:val="009955FE"/>
    <w:rsid w:val="009E2234"/>
    <w:rsid w:val="00A6239E"/>
    <w:rsid w:val="00A62425"/>
    <w:rsid w:val="00AD4288"/>
    <w:rsid w:val="00AE3F69"/>
    <w:rsid w:val="00B521C1"/>
    <w:rsid w:val="00B9232A"/>
    <w:rsid w:val="00BA57CD"/>
    <w:rsid w:val="00C2534D"/>
    <w:rsid w:val="00C304B6"/>
    <w:rsid w:val="00C41ACC"/>
    <w:rsid w:val="00D02F7C"/>
    <w:rsid w:val="00D80EEA"/>
    <w:rsid w:val="00D94C51"/>
    <w:rsid w:val="00DB4389"/>
    <w:rsid w:val="00DC263B"/>
    <w:rsid w:val="00E140DA"/>
    <w:rsid w:val="00E1433B"/>
    <w:rsid w:val="00E27DD6"/>
    <w:rsid w:val="00E34E34"/>
    <w:rsid w:val="00EC5E6B"/>
    <w:rsid w:val="00F655C4"/>
    <w:rsid w:val="00F737BA"/>
    <w:rsid w:val="00F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3CCC"/>
  <w15:docId w15:val="{B9525414-3F58-4AF2-AEA3-E7AAB7D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4F6"/>
    <w:pPr>
      <w:spacing w:after="167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veza">
    <w:name w:val="Hyperlink"/>
    <w:basedOn w:val="Zadanifontodlomka"/>
    <w:uiPriority w:val="99"/>
    <w:unhideWhenUsed/>
    <w:rsid w:val="0047026B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unhideWhenUsed/>
    <w:rsid w:val="00436D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36D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36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6D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6D4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D42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AD4288"/>
    <w:pPr>
      <w:ind w:left="720"/>
      <w:contextualSpacing/>
    </w:pPr>
  </w:style>
  <w:style w:type="character" w:customStyle="1" w:styleId="Bodytext3">
    <w:name w:val="Body text (3)_"/>
    <w:basedOn w:val="Zadanifontodlomka"/>
    <w:link w:val="Bodytext30"/>
    <w:rsid w:val="000B57A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B57AB"/>
    <w:pPr>
      <w:widowControl w:val="0"/>
      <w:shd w:val="clear" w:color="auto" w:fill="FFFFFF"/>
      <w:spacing w:after="0" w:line="0" w:lineRule="atLeast"/>
      <w:ind w:left="0" w:firstLine="0"/>
      <w:jc w:val="left"/>
    </w:pPr>
    <w:rPr>
      <w:b/>
      <w:bCs/>
      <w:color w:val="auto"/>
      <w:sz w:val="17"/>
      <w:szCs w:val="17"/>
    </w:rPr>
  </w:style>
  <w:style w:type="paragraph" w:customStyle="1" w:styleId="Tijeloteksta10">
    <w:name w:val="Tijelo teksta10"/>
    <w:basedOn w:val="Normal"/>
    <w:rsid w:val="000B57AB"/>
    <w:pPr>
      <w:widowControl w:val="0"/>
      <w:shd w:val="clear" w:color="auto" w:fill="FFFFFF"/>
      <w:spacing w:after="240" w:line="274" w:lineRule="exact"/>
      <w:ind w:left="0" w:hanging="500"/>
    </w:pPr>
    <w:rPr>
      <w:color w:val="auto"/>
      <w:sz w:val="23"/>
      <w:szCs w:val="23"/>
      <w:lang w:eastAsia="en-US"/>
    </w:rPr>
  </w:style>
  <w:style w:type="paragraph" w:styleId="Bezproreda">
    <w:name w:val="No Spacing"/>
    <w:basedOn w:val="Normal"/>
    <w:uiPriority w:val="1"/>
    <w:qFormat/>
    <w:rsid w:val="00822082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lang w:eastAsia="en-US"/>
    </w:rPr>
  </w:style>
  <w:style w:type="paragraph" w:styleId="Revizija">
    <w:name w:val="Revision"/>
    <w:hidden/>
    <w:uiPriority w:val="99"/>
    <w:semiHidden/>
    <w:rsid w:val="009001E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zo.gov.h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rukturnifondovi.hr/" TargetMode="External"/><Relationship Id="rId17" Type="http://schemas.openxmlformats.org/officeDocument/2006/relationships/hyperlink" Target="https://mzo.gov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rukturnifondovi.h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rukturnifondovi.hr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://www.strukturnifondovi.hr/" TargetMode="External"/><Relationship Id="rId23" Type="http://schemas.microsoft.com/office/2016/09/relationships/commentsIds" Target="commentsIds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mingor.gov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1116-C474-4C9D-BAA8-A0DF73D42C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175BB9-CE29-4223-9803-6D4D9CFE4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C1F58-4FC2-4582-91A8-7DACA8121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B9FF4C-421E-4EC2-8109-8F997085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UVGZM</dc:creator>
  <cp:keywords/>
  <cp:lastModifiedBy>MINGOR</cp:lastModifiedBy>
  <cp:revision>5</cp:revision>
  <dcterms:created xsi:type="dcterms:W3CDTF">2022-01-03T13:55:00Z</dcterms:created>
  <dcterms:modified xsi:type="dcterms:W3CDTF">2022-01-04T08:46:00Z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